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98" w:rsidRPr="009E2D98" w:rsidRDefault="009E2D98" w:rsidP="009E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8567" cy="662940"/>
            <wp:effectExtent l="19050" t="0" r="0" b="0"/>
            <wp:docPr id="1" name="Рисунок 1" descr="http://www.mchs.gov.ru/media/img/prin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hs.gov.ru/media/img/print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034" cy="66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98" w:rsidRPr="009E2D98" w:rsidRDefault="00A642EB" w:rsidP="009E2D98">
      <w:pPr>
        <w:spacing w:after="120" w:line="240" w:lineRule="auto"/>
        <w:rPr>
          <w:rFonts w:ascii="Times New Roman" w:eastAsia="Times New Roman" w:hAnsi="Times New Roman" w:cs="Times New Roman"/>
          <w:color w:val="5F5F5F"/>
          <w:sz w:val="13"/>
          <w:szCs w:val="13"/>
          <w:lang w:eastAsia="ru-RU"/>
        </w:rPr>
      </w:pPr>
      <w:hyperlink r:id="rId5" w:history="1">
        <w:r w:rsidR="009E2D98" w:rsidRPr="009E2D98">
          <w:rPr>
            <w:rFonts w:ascii="Times New Roman" w:eastAsia="Times New Roman" w:hAnsi="Times New Roman" w:cs="Times New Roman"/>
            <w:color w:val="505050"/>
            <w:sz w:val="13"/>
            <w:u w:val="single"/>
            <w:lang w:eastAsia="ru-RU"/>
          </w:rPr>
          <w:t>МЧС России</w:t>
        </w:r>
      </w:hyperlink>
      <w:r w:rsidR="009E2D98" w:rsidRPr="009E2D98">
        <w:rPr>
          <w:rFonts w:ascii="Times New Roman" w:eastAsia="Times New Roman" w:hAnsi="Times New Roman" w:cs="Times New Roman"/>
          <w:color w:val="5F5F5F"/>
          <w:sz w:val="13"/>
          <w:lang w:eastAsia="ru-RU"/>
        </w:rPr>
        <w:t> </w:t>
      </w:r>
      <w:r w:rsidR="009E2D98" w:rsidRPr="009E2D98">
        <w:rPr>
          <w:rFonts w:ascii="Times New Roman" w:eastAsia="Times New Roman" w:hAnsi="Times New Roman" w:cs="Times New Roman"/>
          <w:color w:val="5F5F5F"/>
          <w:sz w:val="13"/>
          <w:szCs w:val="13"/>
          <w:lang w:eastAsia="ru-RU"/>
        </w:rPr>
        <w:t>/</w:t>
      </w:r>
      <w:r w:rsidR="009E2D98" w:rsidRPr="009E2D98">
        <w:rPr>
          <w:rFonts w:ascii="Times New Roman" w:eastAsia="Times New Roman" w:hAnsi="Times New Roman" w:cs="Times New Roman"/>
          <w:color w:val="5F5F5F"/>
          <w:sz w:val="13"/>
          <w:lang w:eastAsia="ru-RU"/>
        </w:rPr>
        <w:t> </w:t>
      </w:r>
      <w:hyperlink r:id="rId6" w:history="1">
        <w:r w:rsidR="009E2D98" w:rsidRPr="009E2D98">
          <w:rPr>
            <w:rFonts w:ascii="Times New Roman" w:eastAsia="Times New Roman" w:hAnsi="Times New Roman" w:cs="Times New Roman"/>
            <w:color w:val="505050"/>
            <w:sz w:val="13"/>
            <w:u w:val="single"/>
            <w:lang w:eastAsia="ru-RU"/>
          </w:rPr>
          <w:t>Законодательство</w:t>
        </w:r>
      </w:hyperlink>
      <w:r w:rsidR="009E2D98" w:rsidRPr="009E2D98">
        <w:rPr>
          <w:rFonts w:ascii="Times New Roman" w:eastAsia="Times New Roman" w:hAnsi="Times New Roman" w:cs="Times New Roman"/>
          <w:color w:val="5F5F5F"/>
          <w:sz w:val="13"/>
          <w:lang w:eastAsia="ru-RU"/>
        </w:rPr>
        <w:t> </w:t>
      </w:r>
      <w:r w:rsidR="009E2D98" w:rsidRPr="009E2D98">
        <w:rPr>
          <w:rFonts w:ascii="Times New Roman" w:eastAsia="Times New Roman" w:hAnsi="Times New Roman" w:cs="Times New Roman"/>
          <w:color w:val="5F5F5F"/>
          <w:sz w:val="13"/>
          <w:szCs w:val="13"/>
          <w:lang w:eastAsia="ru-RU"/>
        </w:rPr>
        <w:t>/</w:t>
      </w:r>
      <w:r w:rsidR="009E2D98" w:rsidRPr="009E2D98">
        <w:rPr>
          <w:rFonts w:ascii="Times New Roman" w:eastAsia="Times New Roman" w:hAnsi="Times New Roman" w:cs="Times New Roman"/>
          <w:color w:val="5F5F5F"/>
          <w:sz w:val="13"/>
          <w:lang w:eastAsia="ru-RU"/>
        </w:rPr>
        <w:t> </w:t>
      </w:r>
      <w:hyperlink r:id="rId7" w:history="1">
        <w:r w:rsidR="009E2D98" w:rsidRPr="009E2D98">
          <w:rPr>
            <w:rFonts w:ascii="Times New Roman" w:eastAsia="Times New Roman" w:hAnsi="Times New Roman" w:cs="Times New Roman"/>
            <w:color w:val="505050"/>
            <w:sz w:val="13"/>
            <w:u w:val="single"/>
            <w:lang w:eastAsia="ru-RU"/>
          </w:rPr>
          <w:t>Нормативно-правовые акты Министерства</w:t>
        </w:r>
      </w:hyperlink>
      <w:r w:rsidR="009E2D98" w:rsidRPr="009E2D98">
        <w:rPr>
          <w:rFonts w:ascii="Times New Roman" w:eastAsia="Times New Roman" w:hAnsi="Times New Roman" w:cs="Times New Roman"/>
          <w:color w:val="5F5F5F"/>
          <w:sz w:val="13"/>
          <w:lang w:eastAsia="ru-RU"/>
        </w:rPr>
        <w:t> </w:t>
      </w:r>
      <w:r w:rsidR="009E2D98" w:rsidRPr="009E2D98">
        <w:rPr>
          <w:rFonts w:ascii="Times New Roman" w:eastAsia="Times New Roman" w:hAnsi="Times New Roman" w:cs="Times New Roman"/>
          <w:color w:val="5F5F5F"/>
          <w:sz w:val="13"/>
          <w:szCs w:val="13"/>
          <w:lang w:eastAsia="ru-RU"/>
        </w:rPr>
        <w:t>/</w:t>
      </w:r>
      <w:r w:rsidR="009E2D98" w:rsidRPr="009E2D98">
        <w:rPr>
          <w:rFonts w:ascii="Times New Roman" w:eastAsia="Times New Roman" w:hAnsi="Times New Roman" w:cs="Times New Roman"/>
          <w:color w:val="5F5F5F"/>
          <w:sz w:val="13"/>
          <w:lang w:eastAsia="ru-RU"/>
        </w:rPr>
        <w:t> </w:t>
      </w:r>
      <w:hyperlink r:id="rId8" w:history="1">
        <w:r w:rsidR="009E2D98" w:rsidRPr="009E2D98">
          <w:rPr>
            <w:rFonts w:ascii="Times New Roman" w:eastAsia="Times New Roman" w:hAnsi="Times New Roman" w:cs="Times New Roman"/>
            <w:color w:val="505050"/>
            <w:sz w:val="13"/>
            <w:u w:val="single"/>
            <w:lang w:eastAsia="ru-RU"/>
          </w:rPr>
          <w:t>"ОБ УТВЕРЖДЕНИИ ПОРЯДКА СОДЕРЖАНИЯ И ИСПОЛЬЗОВАНИЯ ЗАЩИТНЫХ СООРУЖЕНИЙ ГРАЖДАНСКОЙ ОБОРОНЫ В МИРНОЕ ВРЕМЯ"</w:t>
        </w:r>
      </w:hyperlink>
    </w:p>
    <w:p w:rsidR="009E2D98" w:rsidRPr="009E2D98" w:rsidRDefault="009E2D98" w:rsidP="009E2D98">
      <w:pP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color w:val="2A4F73"/>
          <w:kern w:val="36"/>
          <w:sz w:val="24"/>
          <w:szCs w:val="24"/>
          <w:lang w:eastAsia="ru-RU"/>
        </w:rPr>
      </w:pPr>
      <w:r w:rsidRPr="009E2D98">
        <w:rPr>
          <w:rFonts w:ascii="Arial" w:eastAsia="Times New Roman" w:hAnsi="Arial" w:cs="Arial"/>
          <w:color w:val="2A4F73"/>
          <w:kern w:val="36"/>
          <w:sz w:val="24"/>
          <w:szCs w:val="24"/>
          <w:lang w:eastAsia="ru-RU"/>
        </w:rPr>
        <w:t>"ОБ УТВЕРЖДЕНИИ ПОРЯДКА СОДЕРЖАНИЯ И ИСПОЛЬЗОВАНИЯ ЗАЩИТНЫХ СООРУЖЕНИЙ ГРАЖДАНСКОЙ ОБОРОНЫ В МИРНОЕ ВРЕМЯ"</w:t>
      </w:r>
    </w:p>
    <w:p w:rsidR="009E2D98" w:rsidRPr="009E2D98" w:rsidRDefault="009E2D98" w:rsidP="009E2D98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21 Июля 2005</w:t>
      </w:r>
      <w:r w:rsidRPr="009E2D98">
        <w:rPr>
          <w:rFonts w:ascii="Arial" w:eastAsia="Times New Roman" w:hAnsi="Arial" w:cs="Arial"/>
          <w:color w:val="505050"/>
          <w:sz w:val="17"/>
          <w:lang w:eastAsia="ru-RU"/>
        </w:rPr>
        <w:t> 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center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Зарегистрировано в Минюсте РФ 21 сентября 2005 г.  N 7032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center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b/>
          <w:bCs/>
          <w:color w:val="505050"/>
          <w:sz w:val="17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</w:p>
    <w:p w:rsidR="009E2D98" w:rsidRPr="009E2D98" w:rsidRDefault="009E2D98" w:rsidP="009E2D98">
      <w:pPr>
        <w:spacing w:after="48" w:line="276" w:lineRule="atLeast"/>
        <w:jc w:val="center"/>
        <w:rPr>
          <w:rFonts w:ascii="Arial" w:eastAsia="Times New Roman" w:hAnsi="Arial" w:cs="Arial"/>
          <w:b/>
          <w:bCs/>
          <w:color w:val="505050"/>
          <w:sz w:val="17"/>
          <w:szCs w:val="17"/>
          <w:shd w:val="clear" w:color="auto" w:fill="FFFFFF"/>
          <w:lang w:eastAsia="ru-RU"/>
        </w:rPr>
      </w:pPr>
      <w:r w:rsidRPr="009E2D98">
        <w:rPr>
          <w:rFonts w:ascii="Tahoma" w:eastAsia="Times New Roman" w:hAnsi="Tahoma" w:cs="Tahoma"/>
          <w:b/>
          <w:bCs/>
          <w:color w:val="707070"/>
          <w:sz w:val="17"/>
          <w:lang w:eastAsia="ru-RU"/>
        </w:rPr>
        <w:t>ПРИКАЗ 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center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b/>
          <w:bCs/>
          <w:color w:val="505050"/>
          <w:sz w:val="17"/>
          <w:lang w:eastAsia="ru-RU"/>
        </w:rPr>
        <w:t> от 21 июля 2005 г. N 575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center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 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center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b/>
          <w:bCs/>
          <w:color w:val="505050"/>
          <w:sz w:val="17"/>
          <w:lang w:eastAsia="ru-RU"/>
        </w:rPr>
        <w:t>"ОБ УТВЕРЖДЕНИИ ПОРЯДКА СОДЕРЖАНИЯ И ИСПОЛЬЗОВАНИЯ ЗАЩИТНЫХ СООРУЖЕНИЙ ГРАЖДАНСКОЙ ОБОРОНЫ В МИРНОЕ ВРЕМЯ"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 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proofErr w:type="gramStart"/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В соответствии с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2882), приказываю:</w:t>
      </w:r>
      <w:proofErr w:type="gramEnd"/>
    </w:p>
    <w:p w:rsidR="009E2D98" w:rsidRPr="009E2D98" w:rsidRDefault="009E2D98" w:rsidP="009E2D98">
      <w:pPr>
        <w:shd w:val="clear" w:color="auto" w:fill="FFFFFF"/>
        <w:spacing w:after="48" w:line="276" w:lineRule="atLeast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Утвердить прилагаемый Порядок содержания и использования защитных сооружений гражданской обороны в мирное время.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 </w:t>
      </w:r>
    </w:p>
    <w:tbl>
      <w:tblPr>
        <w:tblW w:w="110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9"/>
        <w:gridCol w:w="5521"/>
      </w:tblGrid>
      <w:tr w:rsidR="009E2D98" w:rsidRPr="009E2D98" w:rsidTr="009E2D98">
        <w:tc>
          <w:tcPr>
            <w:tcW w:w="5565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36" w:type="dxa"/>
              <w:left w:w="84" w:type="dxa"/>
              <w:bottom w:w="36" w:type="dxa"/>
              <w:right w:w="84" w:type="dxa"/>
            </w:tcMar>
            <w:hideMark/>
          </w:tcPr>
          <w:p w:rsidR="009E2D98" w:rsidRPr="009E2D98" w:rsidRDefault="009E2D98" w:rsidP="009E2D98">
            <w:pPr>
              <w:spacing w:after="48" w:line="276" w:lineRule="atLeast"/>
              <w:rPr>
                <w:rFonts w:ascii="Arial" w:eastAsia="Times New Roman" w:hAnsi="Arial" w:cs="Arial"/>
                <w:color w:val="505050"/>
                <w:sz w:val="17"/>
                <w:szCs w:val="17"/>
                <w:lang w:eastAsia="ru-RU"/>
              </w:rPr>
            </w:pPr>
            <w:r w:rsidRPr="009E2D98">
              <w:rPr>
                <w:rFonts w:ascii="Arial" w:eastAsia="Times New Roman" w:hAnsi="Arial" w:cs="Arial"/>
                <w:color w:val="505050"/>
                <w:sz w:val="17"/>
                <w:szCs w:val="17"/>
                <w:lang w:eastAsia="ru-RU"/>
              </w:rPr>
              <w:t>Министр</w:t>
            </w:r>
          </w:p>
        </w:tc>
        <w:tc>
          <w:tcPr>
            <w:tcW w:w="5565" w:type="dxa"/>
            <w:tcBorders>
              <w:top w:val="single" w:sz="4" w:space="0" w:color="C1C2C3"/>
              <w:left w:val="single" w:sz="4" w:space="0" w:color="C1C2C3"/>
              <w:bottom w:val="single" w:sz="4" w:space="0" w:color="C1C2C3"/>
              <w:right w:val="single" w:sz="4" w:space="0" w:color="C1C2C3"/>
            </w:tcBorders>
            <w:shd w:val="clear" w:color="auto" w:fill="FFFFFF"/>
            <w:tcMar>
              <w:top w:w="36" w:type="dxa"/>
              <w:left w:w="84" w:type="dxa"/>
              <w:bottom w:w="36" w:type="dxa"/>
              <w:right w:w="84" w:type="dxa"/>
            </w:tcMar>
            <w:hideMark/>
          </w:tcPr>
          <w:p w:rsidR="009E2D98" w:rsidRPr="009E2D98" w:rsidRDefault="009E2D98" w:rsidP="009E2D98">
            <w:pPr>
              <w:spacing w:after="48" w:line="276" w:lineRule="atLeast"/>
              <w:rPr>
                <w:rFonts w:ascii="Arial" w:eastAsia="Times New Roman" w:hAnsi="Arial" w:cs="Arial"/>
                <w:color w:val="505050"/>
                <w:sz w:val="17"/>
                <w:szCs w:val="17"/>
                <w:lang w:eastAsia="ru-RU"/>
              </w:rPr>
            </w:pPr>
            <w:r w:rsidRPr="009E2D98">
              <w:rPr>
                <w:rFonts w:ascii="Arial" w:eastAsia="Times New Roman" w:hAnsi="Arial" w:cs="Arial"/>
                <w:color w:val="505050"/>
                <w:sz w:val="17"/>
                <w:szCs w:val="17"/>
                <w:lang w:eastAsia="ru-RU"/>
              </w:rPr>
              <w:t>С.К. Шойгу</w:t>
            </w:r>
          </w:p>
        </w:tc>
      </w:tr>
    </w:tbl>
    <w:p w:rsidR="009E2D98" w:rsidRPr="009E2D98" w:rsidRDefault="009E2D98" w:rsidP="009E2D98">
      <w:pPr>
        <w:shd w:val="clear" w:color="auto" w:fill="FFFFFF"/>
        <w:spacing w:after="48" w:line="276" w:lineRule="atLeast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 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right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Приложение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right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к приказу МЧС РФ МЧС РФ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right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от 21 июля 2005 г. N 575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center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color w:val="505050"/>
          <w:sz w:val="17"/>
          <w:szCs w:val="17"/>
          <w:lang w:eastAsia="ru-RU"/>
        </w:rPr>
        <w:t> </w:t>
      </w:r>
    </w:p>
    <w:p w:rsidR="009E2D98" w:rsidRPr="009E2D98" w:rsidRDefault="009E2D98" w:rsidP="009E2D98">
      <w:pPr>
        <w:shd w:val="clear" w:color="auto" w:fill="FFFFFF"/>
        <w:spacing w:after="48" w:line="276" w:lineRule="atLeast"/>
        <w:jc w:val="center"/>
        <w:rPr>
          <w:rFonts w:ascii="Arial" w:eastAsia="Times New Roman" w:hAnsi="Arial" w:cs="Arial"/>
          <w:color w:val="505050"/>
          <w:sz w:val="17"/>
          <w:szCs w:val="17"/>
          <w:lang w:eastAsia="ru-RU"/>
        </w:rPr>
      </w:pPr>
      <w:r w:rsidRPr="009E2D98">
        <w:rPr>
          <w:rFonts w:ascii="Arial" w:eastAsia="Times New Roman" w:hAnsi="Arial" w:cs="Arial"/>
          <w:b/>
          <w:bCs/>
          <w:color w:val="505050"/>
          <w:sz w:val="17"/>
          <w:lang w:eastAsia="ru-RU"/>
        </w:rPr>
        <w:t>Порядок </w:t>
      </w:r>
      <w:r w:rsidRPr="009E2D98">
        <w:rPr>
          <w:rFonts w:ascii="Arial" w:eastAsia="Times New Roman" w:hAnsi="Arial" w:cs="Arial"/>
          <w:b/>
          <w:bCs/>
          <w:color w:val="505050"/>
          <w:sz w:val="17"/>
          <w:szCs w:val="17"/>
          <w:lang w:eastAsia="ru-RU"/>
        </w:rPr>
        <w:br/>
      </w:r>
      <w:r w:rsidRPr="009E2D98">
        <w:rPr>
          <w:rFonts w:ascii="Arial" w:eastAsia="Times New Roman" w:hAnsi="Arial" w:cs="Arial"/>
          <w:b/>
          <w:bCs/>
          <w:color w:val="505050"/>
          <w:sz w:val="17"/>
          <w:lang w:eastAsia="ru-RU"/>
        </w:rPr>
        <w:t>содержания и использования защитных сооружений гражданской обороны в мирное время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jc w:val="center"/>
        <w:rPr>
          <w:rFonts w:ascii="Arial" w:hAnsi="Arial" w:cs="Arial"/>
          <w:color w:val="505050"/>
          <w:sz w:val="17"/>
          <w:szCs w:val="17"/>
        </w:rPr>
      </w:pPr>
      <w:r>
        <w:rPr>
          <w:rStyle w:val="a5"/>
          <w:rFonts w:ascii="Arial" w:hAnsi="Arial" w:cs="Arial"/>
          <w:color w:val="505050"/>
          <w:sz w:val="17"/>
          <w:szCs w:val="17"/>
        </w:rPr>
        <w:t>I. Общие положения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 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1. Настоящий Порядок содержания и использования защитных сооружений гражданской обороны в мирное время (далее - Порядок) определяет требования по содержанию и использованию защитных сооружений гражданской обороны (далее - ЗС ГО) в мирное время.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 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jc w:val="center"/>
        <w:rPr>
          <w:rStyle w:val="a5"/>
          <w:rFonts w:ascii="Arial" w:hAnsi="Arial" w:cs="Arial"/>
          <w:color w:val="505050"/>
          <w:sz w:val="17"/>
          <w:szCs w:val="17"/>
        </w:rPr>
      </w:pP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jc w:val="center"/>
        <w:rPr>
          <w:rFonts w:ascii="Arial" w:hAnsi="Arial" w:cs="Arial"/>
          <w:color w:val="505050"/>
          <w:sz w:val="17"/>
          <w:szCs w:val="17"/>
        </w:rPr>
      </w:pPr>
      <w:r>
        <w:rPr>
          <w:rStyle w:val="a5"/>
          <w:rFonts w:ascii="Arial" w:hAnsi="Arial" w:cs="Arial"/>
          <w:color w:val="505050"/>
          <w:sz w:val="17"/>
          <w:szCs w:val="17"/>
        </w:rPr>
        <w:t>II. Порядок содержания защитных сооружений гражданской обороны в мирное время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 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2.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создаваться формирования по их обслуживанию.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При этом необходимо обеспечить сохранность: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защитных свойств как ЗС ГО в целом, так и отдельных его элементов;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герметизации и гидроизоляции всего ЗС ГО;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инженерно-технического и специального оборудования, сре</w:t>
      </w:r>
      <w:proofErr w:type="gramStart"/>
      <w:r>
        <w:rPr>
          <w:rFonts w:ascii="Arial" w:hAnsi="Arial" w:cs="Arial"/>
          <w:color w:val="505050"/>
          <w:sz w:val="17"/>
          <w:szCs w:val="17"/>
        </w:rPr>
        <w:t>дств св</w:t>
      </w:r>
      <w:proofErr w:type="gramEnd"/>
      <w:r>
        <w:rPr>
          <w:rFonts w:ascii="Arial" w:hAnsi="Arial" w:cs="Arial"/>
          <w:color w:val="505050"/>
          <w:sz w:val="17"/>
          <w:szCs w:val="17"/>
        </w:rPr>
        <w:t>язи и оповещения ЗС ГО.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3. При содержании ЗС ГО в мирное время запрещается: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перепланировка помещений;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lastRenderedPageBreak/>
        <w:t>устройство отверстий или проемов в ограждающих конструкциях;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нарушение герметизации и гидроизоляции;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демонтаж оборудования;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применение горючих строительных материалов для внутренней отделки помещений;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загромождение путей движения, входов в ЗС ГО и аварийных выходов;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оштукатуривание потолков и стен помещений;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облицовка стен керамической плиткой;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 изготовителя и техническими данными инженерно-технического и специального оборудования;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установка и эксплуатация приборов и оборудования, застройка территории вблизи входов, аварийных выходов и наружных воздухозаборных и вытяжных устройств ЗС ГО.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4. Допускается устройство в помещениях ЗС ГО временных легкосъемных перегородок из негорючих и нетоксичных материалов с учетом возможности их демонтажа в период приведения ЗС ГО в готовность к приему укрываемых, но не более чем за 6 часов.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7"/>
          <w:szCs w:val="17"/>
          <w:shd w:val="clear" w:color="auto" w:fill="FFFFFF"/>
        </w:rPr>
        <w:t>5. Инженерно-техническое и специальное оборудование, средства связи и оповещения ЗС ГО необходимо содержать в исправном состоянии и готовности к использованию по назначению.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6. Содержание, эксплуатация, текущий и плановый ремонты инженерно-технического и специального оборудования, сре</w:t>
      </w:r>
      <w:proofErr w:type="gramStart"/>
      <w:r>
        <w:rPr>
          <w:rFonts w:ascii="Arial" w:hAnsi="Arial" w:cs="Arial"/>
          <w:color w:val="505050"/>
          <w:sz w:val="14"/>
          <w:szCs w:val="14"/>
        </w:rPr>
        <w:t>дств св</w:t>
      </w:r>
      <w:proofErr w:type="gramEnd"/>
      <w:r>
        <w:rPr>
          <w:rFonts w:ascii="Arial" w:hAnsi="Arial" w:cs="Arial"/>
          <w:color w:val="505050"/>
          <w:sz w:val="14"/>
          <w:szCs w:val="14"/>
        </w:rPr>
        <w:t>язи и оповещения осуществляются в соответствии с технической документацией.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 xml:space="preserve">7. Использование систем </w:t>
      </w:r>
      <w:proofErr w:type="spellStart"/>
      <w:r>
        <w:rPr>
          <w:rFonts w:ascii="Arial" w:hAnsi="Arial" w:cs="Arial"/>
          <w:color w:val="505050"/>
          <w:sz w:val="14"/>
          <w:szCs w:val="14"/>
        </w:rPr>
        <w:t>воздухоснабжения</w:t>
      </w:r>
      <w:proofErr w:type="spellEnd"/>
      <w:r>
        <w:rPr>
          <w:rFonts w:ascii="Arial" w:hAnsi="Arial" w:cs="Arial"/>
          <w:color w:val="505050"/>
          <w:sz w:val="14"/>
          <w:szCs w:val="14"/>
        </w:rPr>
        <w:t xml:space="preserve"> ЗС ГО в мирное время допускается только по режиму чистой вентиляции.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8. В мирное время запрещается использование следующих элементов инженерно-технического и специального оборудования ЗС ГО: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вентиляционных систем защищенной дизельной электростанции;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фильтров-поглотителей;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proofErr w:type="spellStart"/>
      <w:r>
        <w:rPr>
          <w:rFonts w:ascii="Arial" w:hAnsi="Arial" w:cs="Arial"/>
          <w:color w:val="505050"/>
          <w:sz w:val="14"/>
          <w:szCs w:val="14"/>
        </w:rPr>
        <w:t>предфильтров</w:t>
      </w:r>
      <w:proofErr w:type="spellEnd"/>
      <w:r>
        <w:rPr>
          <w:rFonts w:ascii="Arial" w:hAnsi="Arial" w:cs="Arial"/>
          <w:color w:val="505050"/>
          <w:sz w:val="14"/>
          <w:szCs w:val="14"/>
        </w:rPr>
        <w:t>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фильтров для очистки воздуха от окиси углерода;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средств регенерации воздуха;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гравийных воздухоохладителей;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аварийных резервуаров для сбора фекалий. Задвижки на выпусках из резервуаров должны быть закрыты.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9. При использовании ЗС ГО в мирное время необходимо: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поддерживать температуру в помещениях в соответствии с требованиями проекта;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обеспечить защиту от атмосферных осадков и поверхностных вод входов и аварийных выходов;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проводить окраску и ремонт помещений и оборудования систем жизнеобеспечения в соответствии с установленными правилами;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закрыть и опечатать герметические клапаны, установленные до и после фильтров-поглотителей, устройств регенерации и фильтров для очистки воздуха от окиси углерода;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обеспечить в напорных емкостях аварийного запаса питьевой воды проток воды с полным обменом ее в течение 2 суток;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содержать аварийные безнапорные емкости для питьевой воды в чистоте;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закрыть и опечатать вспомогательные помещения, а также санузлы, не используемые в хозяйственных целях;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законсервировать дизельные электростанции;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обеспечить открываемые защитно-герметические и герметические ворота и двери подставками.</w:t>
      </w:r>
    </w:p>
    <w:p w:rsidR="009E2D98" w:rsidRDefault="009E2D98" w:rsidP="009E2D98">
      <w:pPr>
        <w:pStyle w:val="a4"/>
        <w:shd w:val="clear" w:color="auto" w:fill="FFFFFF"/>
        <w:spacing w:before="0" w:beforeAutospacing="0" w:after="40" w:afterAutospacing="0" w:line="230" w:lineRule="atLeast"/>
        <w:rPr>
          <w:rFonts w:ascii="Arial" w:hAnsi="Arial" w:cs="Arial"/>
          <w:color w:val="505050"/>
          <w:sz w:val="14"/>
          <w:szCs w:val="14"/>
        </w:rPr>
      </w:pPr>
      <w:r>
        <w:rPr>
          <w:rFonts w:ascii="Arial" w:hAnsi="Arial" w:cs="Arial"/>
          <w:color w:val="505050"/>
          <w:sz w:val="14"/>
          <w:szCs w:val="14"/>
        </w:rPr>
        <w:t>10. 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ЗС ГО в мирное время.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jc w:val="center"/>
        <w:rPr>
          <w:rFonts w:ascii="Arial" w:hAnsi="Arial" w:cs="Arial"/>
          <w:color w:val="505050"/>
          <w:sz w:val="17"/>
          <w:szCs w:val="17"/>
        </w:rPr>
      </w:pPr>
      <w:r>
        <w:rPr>
          <w:rStyle w:val="a5"/>
          <w:rFonts w:ascii="Arial" w:hAnsi="Arial" w:cs="Arial"/>
          <w:color w:val="505050"/>
          <w:sz w:val="17"/>
          <w:szCs w:val="17"/>
        </w:rPr>
        <w:t>II. Порядок использования защитных сооружений гражданской обороны в мирное время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 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11. В соответствии с постановлением Правительства Российской Федерации от 29 ноября 1999 г. N 1309 "О порядке создания убежищ и иных объектов гражданской обороны"* ЗС ГО в мирное время могут использоваться в интересах экономики и обслуживания населения.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 xml:space="preserve">12. Основные помещения ЗС ГО разрешается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>
        <w:rPr>
          <w:rFonts w:ascii="Arial" w:hAnsi="Arial" w:cs="Arial"/>
          <w:color w:val="505050"/>
          <w:sz w:val="17"/>
          <w:szCs w:val="17"/>
        </w:rPr>
        <w:t>под</w:t>
      </w:r>
      <w:proofErr w:type="gramEnd"/>
      <w:r>
        <w:rPr>
          <w:rFonts w:ascii="Arial" w:hAnsi="Arial" w:cs="Arial"/>
          <w:color w:val="505050"/>
          <w:sz w:val="17"/>
          <w:szCs w:val="17"/>
        </w:rPr>
        <w:t>: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санитарно-бытовые помещения;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помещения культурного обслуживания и помещения для учебных занятий;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 и не требующие естественного освещения;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технологические, транспортные и пешеходные тоннели;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помещения дежурных электриков, связистов, ремонтных бригад;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гаражи для легковых автомобилей, подземные стоянки автокаров и автомобилей;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proofErr w:type="gramStart"/>
      <w:r>
        <w:rPr>
          <w:rFonts w:ascii="Arial" w:hAnsi="Arial" w:cs="Arial"/>
          <w:color w:val="505050"/>
          <w:sz w:val="17"/>
          <w:szCs w:val="17"/>
        </w:rPr>
        <w:lastRenderedPageBreak/>
        <w:t>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помещения торговли и питания (магазины, залы столовых, буфеты, кафе, закусочные и др.);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спортивные помещения (стрелковые тиры и залы для спортивных занятий);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помещения бытового обслуживания населения (ателье, мастерские, приемные пункты и др.);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вспомогательные (подсобные) помещения лечебных учреждений.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13.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 Освобождение помещений от имущества осуществляется при переводе ЗС ГО на режим убежища в срок не более 6 часов.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14.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15. Вспомогательные помещения ЗС ГО использовать в мирное время запрещается, за исключением помещений санузлов.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color w:val="505050"/>
          <w:sz w:val="17"/>
          <w:szCs w:val="17"/>
        </w:rPr>
        <w:t> </w:t>
      </w:r>
    </w:p>
    <w:p w:rsidR="009E2D98" w:rsidRDefault="009E2D98" w:rsidP="009E2D98">
      <w:pPr>
        <w:pStyle w:val="a4"/>
        <w:spacing w:before="0" w:beforeAutospacing="0" w:after="48" w:afterAutospacing="0"/>
      </w:pPr>
      <w:r>
        <w:t>* Собрание законодательства Российской Федерации, 1999, N 49, ст. 6000.</w:t>
      </w:r>
    </w:p>
    <w:p w:rsidR="009E2D98" w:rsidRDefault="009E2D98" w:rsidP="009E2D98">
      <w:pPr>
        <w:pStyle w:val="a4"/>
        <w:spacing w:before="0" w:beforeAutospacing="0" w:after="48" w:afterAutospacing="0"/>
      </w:pPr>
      <w:r>
        <w:t> </w:t>
      </w:r>
    </w:p>
    <w:p w:rsidR="009E2D98" w:rsidRDefault="009E2D98" w:rsidP="009E2D98">
      <w:pPr>
        <w:pStyle w:val="a4"/>
        <w:shd w:val="clear" w:color="auto" w:fill="FFFFFF"/>
        <w:spacing w:before="0" w:beforeAutospacing="0" w:after="48" w:afterAutospacing="0" w:line="276" w:lineRule="atLeast"/>
        <w:rPr>
          <w:rFonts w:ascii="Arial" w:hAnsi="Arial" w:cs="Arial"/>
          <w:color w:val="505050"/>
          <w:sz w:val="17"/>
          <w:szCs w:val="17"/>
        </w:rPr>
      </w:pPr>
      <w:r>
        <w:rPr>
          <w:rFonts w:ascii="Arial" w:hAnsi="Arial" w:cs="Arial"/>
          <w:i/>
          <w:iCs/>
          <w:color w:val="505050"/>
          <w:sz w:val="15"/>
          <w:szCs w:val="15"/>
        </w:rPr>
        <w:t>Адрес страницы:</w:t>
      </w:r>
      <w:r>
        <w:rPr>
          <w:rStyle w:val="apple-converted-space"/>
          <w:rFonts w:ascii="Arial" w:hAnsi="Arial" w:cs="Arial"/>
          <w:i/>
          <w:iCs/>
          <w:color w:val="505050"/>
          <w:sz w:val="15"/>
          <w:szCs w:val="15"/>
        </w:rPr>
        <w:t> </w:t>
      </w:r>
      <w:hyperlink r:id="rId9" w:history="1">
        <w:r>
          <w:rPr>
            <w:rStyle w:val="a3"/>
            <w:rFonts w:ascii="Arial" w:hAnsi="Arial" w:cs="Arial"/>
            <w:color w:val="505050"/>
            <w:sz w:val="15"/>
            <w:szCs w:val="15"/>
          </w:rPr>
          <w:t>http://www.mchs.gov.ru/document/235192</w:t>
        </w:r>
      </w:hyperlink>
    </w:p>
    <w:p w:rsidR="00DB7C7B" w:rsidRDefault="00432A20"/>
    <w:sectPr w:rsidR="00DB7C7B" w:rsidSect="009E2D9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E2D98"/>
    <w:rsid w:val="00243C72"/>
    <w:rsid w:val="003D3072"/>
    <w:rsid w:val="003D349B"/>
    <w:rsid w:val="00432A20"/>
    <w:rsid w:val="007E551A"/>
    <w:rsid w:val="009E2D98"/>
    <w:rsid w:val="00A642EB"/>
    <w:rsid w:val="00D7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8A"/>
  </w:style>
  <w:style w:type="paragraph" w:styleId="1">
    <w:name w:val="heading 1"/>
    <w:basedOn w:val="a"/>
    <w:link w:val="10"/>
    <w:uiPriority w:val="9"/>
    <w:qFormat/>
    <w:rsid w:val="009E2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2D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2D98"/>
  </w:style>
  <w:style w:type="paragraph" w:styleId="a4">
    <w:name w:val="Normal (Web)"/>
    <w:basedOn w:val="a"/>
    <w:uiPriority w:val="99"/>
    <w:unhideWhenUsed/>
    <w:rsid w:val="009E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E2D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E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s.gov.ru/document/2351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chs.gov.ru/law/ministry_a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chs.gov.ru/la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chs.gov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chs.gov.ru/document/235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1234</Words>
  <Characters>7040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2</cp:revision>
  <cp:lastPrinted>2013-06-07T09:19:00Z</cp:lastPrinted>
  <dcterms:created xsi:type="dcterms:W3CDTF">2014-01-28T06:25:00Z</dcterms:created>
  <dcterms:modified xsi:type="dcterms:W3CDTF">2014-01-28T06:25:00Z</dcterms:modified>
</cp:coreProperties>
</file>